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left="637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ind w:left="566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УИД 86MS006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013348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>
      <w:pPr>
        <w:keepNext/>
        <w:spacing w:before="0" w:after="0"/>
        <w:ind w:left="5664"/>
        <w:jc w:val="both"/>
        <w:rPr>
          <w:sz w:val="26"/>
          <w:szCs w:val="26"/>
        </w:rPr>
      </w:pPr>
    </w:p>
    <w:p>
      <w:pPr>
        <w:keepNext/>
        <w:spacing w:before="0" w:after="0"/>
        <w:ind w:left="353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left="1415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left="283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 января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«Югра-Экология» к </w:t>
      </w:r>
      <w:r>
        <w:rPr>
          <w:rFonts w:ascii="Times New Roman" w:eastAsia="Times New Roman" w:hAnsi="Times New Roman" w:cs="Times New Roman"/>
          <w:sz w:val="26"/>
          <w:szCs w:val="26"/>
        </w:rPr>
        <w:t>Кващук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Александру Константиновичу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взыскании задолженности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оплате коммунальной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>, пени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left="4247" w:firstLine="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«Югра-Экология»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8601065381)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Кващук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Александру Константиновичу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взыскании задолженности по оплате коммунальной услуги по обращению с твердыми коммунальными отходами, пени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Кващук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Константинович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«Югра-Экология»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долга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коммунальную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>а период с 01.0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4847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пени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3601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судебные расходы по оплате госпошлины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января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14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